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5AD4" w14:textId="77777777" w:rsidR="00986C47" w:rsidRPr="0029301D" w:rsidRDefault="0029301D" w:rsidP="0029301D">
      <w:pPr>
        <w:pStyle w:val="Ttulo"/>
        <w:jc w:val="center"/>
        <w:rPr>
          <w:rFonts w:ascii="gobCL" w:hAnsi="gobCL"/>
          <w:color w:val="00B0F0"/>
        </w:rPr>
      </w:pPr>
      <w:bookmarkStart w:id="0" w:name="_heading=h.gjdgxs" w:colFirst="0" w:colLast="0"/>
      <w:bookmarkEnd w:id="0"/>
      <w:r w:rsidRPr="0029301D">
        <w:rPr>
          <w:rFonts w:ascii="gobCL" w:hAnsi="gobCL"/>
          <w:color w:val="00B0F0"/>
        </w:rPr>
        <w:t xml:space="preserve">EXPERIENCIA DE APRENDIZAJE // EDUCACIÓN MEDIA </w:t>
      </w:r>
    </w:p>
    <w:p w14:paraId="5C8038F3" w14:textId="77777777" w:rsidR="00986C47" w:rsidRPr="0029301D" w:rsidRDefault="00640A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obCL" w:eastAsia="Century Gothic" w:hAnsi="gobCL"/>
          <w:b/>
          <w:color w:val="000000" w:themeColor="text1"/>
          <w:sz w:val="24"/>
          <w:szCs w:val="24"/>
        </w:rPr>
      </w:pPr>
      <w:r w:rsidRPr="0029301D">
        <w:rPr>
          <w:rFonts w:ascii="gobCL" w:eastAsia="Century Gothic" w:hAnsi="gobCL"/>
          <w:b/>
          <w:color w:val="000000" w:themeColor="text1"/>
          <w:sz w:val="24"/>
          <w:szCs w:val="24"/>
        </w:rPr>
        <w:t xml:space="preserve">Objetos de aprendizajes (recursos): </w:t>
      </w:r>
    </w:p>
    <w:p w14:paraId="3E15BC7C" w14:textId="77777777" w:rsidR="00986C47" w:rsidRPr="0029301D" w:rsidRDefault="00640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obCL" w:eastAsia="Century Gothic" w:hAnsi="gobCL"/>
          <w:color w:val="000000" w:themeColor="text1"/>
        </w:rPr>
      </w:pPr>
      <w:r w:rsidRPr="0029301D">
        <w:rPr>
          <w:rFonts w:ascii="gobCL" w:hAnsi="gobCL"/>
          <w:color w:val="000000" w:themeColor="text1"/>
        </w:rPr>
        <w:t xml:space="preserve">Paso a paso creación cómic: </w:t>
      </w:r>
    </w:p>
    <w:tbl>
      <w:tblPr>
        <w:tblStyle w:val="Tablaconcuadrculaclara"/>
        <w:tblW w:w="9435" w:type="dxa"/>
        <w:tblLayout w:type="fixed"/>
        <w:tblLook w:val="0400" w:firstRow="0" w:lastRow="0" w:firstColumn="0" w:lastColumn="0" w:noHBand="0" w:noVBand="1"/>
      </w:tblPr>
      <w:tblGrid>
        <w:gridCol w:w="2820"/>
        <w:gridCol w:w="6615"/>
      </w:tblGrid>
      <w:tr w:rsidR="00986C47" w:rsidRPr="0029301D" w14:paraId="14120FC9" w14:textId="77777777" w:rsidTr="0029301D">
        <w:tc>
          <w:tcPr>
            <w:tcW w:w="2820" w:type="dxa"/>
            <w:shd w:val="clear" w:color="auto" w:fill="00B0F0"/>
          </w:tcPr>
          <w:p w14:paraId="62ECC4B3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 xml:space="preserve">Tema principal </w:t>
            </w:r>
          </w:p>
        </w:tc>
        <w:tc>
          <w:tcPr>
            <w:tcW w:w="6615" w:type="dxa"/>
          </w:tcPr>
          <w:p w14:paraId="3042F732" w14:textId="77777777" w:rsidR="00986C47" w:rsidRPr="0029301D" w:rsidRDefault="00640AD3">
            <w:pPr>
              <w:rPr>
                <w:rFonts w:ascii="gobCL" w:hAnsi="gobCL"/>
              </w:rPr>
            </w:pPr>
            <w:r w:rsidRPr="0029301D">
              <w:rPr>
                <w:rFonts w:ascii="gobCL" w:hAnsi="gobCL"/>
              </w:rPr>
              <w:t xml:space="preserve">Calidad del aire </w:t>
            </w:r>
          </w:p>
        </w:tc>
      </w:tr>
      <w:tr w:rsidR="00986C47" w:rsidRPr="0029301D" w14:paraId="0161E9E8" w14:textId="77777777" w:rsidTr="0029301D">
        <w:tc>
          <w:tcPr>
            <w:tcW w:w="2820" w:type="dxa"/>
            <w:shd w:val="clear" w:color="auto" w:fill="00B0F0"/>
          </w:tcPr>
          <w:p w14:paraId="13F44499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 xml:space="preserve">Objetivos de la educación ambiental </w:t>
            </w:r>
          </w:p>
        </w:tc>
        <w:tc>
          <w:tcPr>
            <w:tcW w:w="6615" w:type="dxa"/>
          </w:tcPr>
          <w:p w14:paraId="1CF86C5D" w14:textId="77777777" w:rsidR="00986C47" w:rsidRPr="0029301D" w:rsidRDefault="00640AD3">
            <w:pPr>
              <w:rPr>
                <w:rFonts w:ascii="gobCL" w:hAnsi="gobCL"/>
              </w:rPr>
            </w:pPr>
            <w:r w:rsidRPr="0029301D">
              <w:rPr>
                <w:rFonts w:ascii="gobCL" w:hAnsi="gobCL"/>
              </w:rPr>
              <w:t xml:space="preserve">Sensibilización, Conocimiento </w:t>
            </w:r>
          </w:p>
        </w:tc>
      </w:tr>
      <w:tr w:rsidR="00986C47" w:rsidRPr="0029301D" w14:paraId="50107834" w14:textId="77777777" w:rsidTr="0029301D">
        <w:tc>
          <w:tcPr>
            <w:tcW w:w="2820" w:type="dxa"/>
            <w:shd w:val="clear" w:color="auto" w:fill="00B0F0"/>
          </w:tcPr>
          <w:p w14:paraId="24570CA6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>Cursos principales</w:t>
            </w:r>
          </w:p>
        </w:tc>
        <w:tc>
          <w:tcPr>
            <w:tcW w:w="6615" w:type="dxa"/>
          </w:tcPr>
          <w:p w14:paraId="3A8D0BF5" w14:textId="77777777" w:rsidR="00986C47" w:rsidRPr="0029301D" w:rsidRDefault="00640AD3">
            <w:pPr>
              <w:rPr>
                <w:rFonts w:ascii="gobCL" w:hAnsi="gobCL"/>
              </w:rPr>
            </w:pPr>
            <w:r w:rsidRPr="0029301D">
              <w:rPr>
                <w:rFonts w:ascii="gobCL" w:hAnsi="gobCL"/>
              </w:rPr>
              <w:t>3° y 4° Medio</w:t>
            </w:r>
          </w:p>
        </w:tc>
      </w:tr>
      <w:tr w:rsidR="00986C47" w:rsidRPr="0029301D" w14:paraId="7E38BDE6" w14:textId="77777777" w:rsidTr="0029301D">
        <w:tc>
          <w:tcPr>
            <w:tcW w:w="2820" w:type="dxa"/>
            <w:shd w:val="clear" w:color="auto" w:fill="00B0F0"/>
          </w:tcPr>
          <w:p w14:paraId="22E03BE8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>Asignatura principal</w:t>
            </w:r>
          </w:p>
        </w:tc>
        <w:tc>
          <w:tcPr>
            <w:tcW w:w="6615" w:type="dxa"/>
          </w:tcPr>
          <w:p w14:paraId="0F670508" w14:textId="77777777" w:rsidR="00986C47" w:rsidRPr="0029301D" w:rsidRDefault="00640AD3">
            <w:pPr>
              <w:rPr>
                <w:rFonts w:ascii="gobCL" w:hAnsi="gobCL"/>
              </w:rPr>
            </w:pPr>
            <w:r w:rsidRPr="0029301D">
              <w:rPr>
                <w:rFonts w:ascii="gobCL" w:hAnsi="gobCL"/>
              </w:rPr>
              <w:t xml:space="preserve">Lengua y Literatura </w:t>
            </w:r>
          </w:p>
        </w:tc>
      </w:tr>
      <w:tr w:rsidR="00986C47" w:rsidRPr="0029301D" w14:paraId="0332BFE0" w14:textId="77777777" w:rsidTr="0029301D">
        <w:tc>
          <w:tcPr>
            <w:tcW w:w="2820" w:type="dxa"/>
            <w:shd w:val="clear" w:color="auto" w:fill="00B0F0"/>
          </w:tcPr>
          <w:p w14:paraId="61DA1105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>Objetivo de aprendizaje</w:t>
            </w:r>
          </w:p>
        </w:tc>
        <w:tc>
          <w:tcPr>
            <w:tcW w:w="6615" w:type="dxa"/>
          </w:tcPr>
          <w:p w14:paraId="05CBDF63" w14:textId="77777777" w:rsidR="00986C47" w:rsidRPr="0029301D" w:rsidRDefault="00640AD3">
            <w:pPr>
              <w:widowControl w:val="0"/>
              <w:rPr>
                <w:rFonts w:ascii="gobCL" w:hAnsi="gobCL"/>
                <w:highlight w:val="white"/>
              </w:rPr>
            </w:pPr>
            <w:r w:rsidRPr="0029301D">
              <w:rPr>
                <w:rFonts w:ascii="gobCL" w:hAnsi="gobCL"/>
                <w:highlight w:val="white"/>
              </w:rPr>
              <w:t xml:space="preserve">OA_6: Producir textos (orales, escritos o audiovisuales) coherentes y cohesionados, para comunicar sus análisis e interpretaciones de textos, desarrollar posturas sobre temas, explorar creativamente con el lenguaje, entre otros propósitos: </w:t>
            </w:r>
          </w:p>
          <w:p w14:paraId="79458206" w14:textId="77777777" w:rsidR="00986C47" w:rsidRPr="0029301D" w:rsidRDefault="00640AD3">
            <w:pPr>
              <w:widowControl w:val="0"/>
              <w:rPr>
                <w:rFonts w:ascii="gobCL" w:hAnsi="gobCL"/>
                <w:highlight w:val="white"/>
              </w:rPr>
            </w:pPr>
            <w:r w:rsidRPr="0029301D">
              <w:rPr>
                <w:rFonts w:ascii="gobCL" w:hAnsi="gobCL"/>
                <w:highlight w:val="white"/>
              </w:rPr>
              <w:t xml:space="preserve">• Aplicando un proceso de escritura según sus propósitos, el género discursivo seleccionado, el tema y la audiencia. </w:t>
            </w:r>
          </w:p>
          <w:p w14:paraId="7A9A0EB2" w14:textId="77777777" w:rsidR="00986C47" w:rsidRPr="0029301D" w:rsidRDefault="00640AD3">
            <w:pPr>
              <w:widowControl w:val="0"/>
              <w:rPr>
                <w:rFonts w:ascii="gobCL" w:hAnsi="gobCL"/>
                <w:color w:val="000000"/>
                <w:highlight w:val="white"/>
              </w:rPr>
            </w:pPr>
            <w:r w:rsidRPr="0029301D">
              <w:rPr>
                <w:rFonts w:ascii="gobCL" w:hAnsi="gobCL"/>
                <w:highlight w:val="white"/>
              </w:rPr>
              <w:t xml:space="preserve">• Adecuando el texto a las convenciones del género y a las características de la audiencia (conocimientos, intereses, convenciones culturales). </w:t>
            </w:r>
          </w:p>
        </w:tc>
      </w:tr>
      <w:tr w:rsidR="00986C47" w:rsidRPr="0029301D" w14:paraId="7DBC72B7" w14:textId="77777777" w:rsidTr="0029301D">
        <w:tc>
          <w:tcPr>
            <w:tcW w:w="2820" w:type="dxa"/>
            <w:shd w:val="clear" w:color="auto" w:fill="00B0F0"/>
          </w:tcPr>
          <w:p w14:paraId="4CF79591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 xml:space="preserve">Cursos secundarios </w:t>
            </w:r>
          </w:p>
        </w:tc>
        <w:tc>
          <w:tcPr>
            <w:tcW w:w="6615" w:type="dxa"/>
          </w:tcPr>
          <w:p w14:paraId="5131C76D" w14:textId="77777777" w:rsidR="00986C47" w:rsidRPr="0029301D" w:rsidRDefault="00640AD3">
            <w:pPr>
              <w:rPr>
                <w:rFonts w:ascii="gobCL" w:hAnsi="gobCL"/>
                <w:highlight w:val="white"/>
              </w:rPr>
            </w:pPr>
            <w:r w:rsidRPr="0029301D">
              <w:rPr>
                <w:rFonts w:ascii="gobCL" w:hAnsi="gobCL"/>
                <w:highlight w:val="white"/>
              </w:rPr>
              <w:t>1° y 2° Medio</w:t>
            </w:r>
          </w:p>
        </w:tc>
      </w:tr>
      <w:tr w:rsidR="00986C47" w:rsidRPr="0029301D" w14:paraId="6121BAC6" w14:textId="77777777" w:rsidTr="0029301D">
        <w:trPr>
          <w:trHeight w:val="2922"/>
        </w:trPr>
        <w:tc>
          <w:tcPr>
            <w:tcW w:w="2820" w:type="dxa"/>
            <w:shd w:val="clear" w:color="auto" w:fill="00B0F0"/>
          </w:tcPr>
          <w:p w14:paraId="4189D9AE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>Objetivo de aprendizaje</w:t>
            </w:r>
          </w:p>
        </w:tc>
        <w:tc>
          <w:tcPr>
            <w:tcW w:w="6615" w:type="dxa"/>
          </w:tcPr>
          <w:p w14:paraId="6070C425" w14:textId="77777777" w:rsidR="00986C47" w:rsidRPr="0029301D" w:rsidRDefault="00640AD3">
            <w:pPr>
              <w:widowControl w:val="0"/>
              <w:rPr>
                <w:rFonts w:ascii="gobCL" w:hAnsi="gobCL"/>
                <w:highlight w:val="white"/>
              </w:rPr>
            </w:pPr>
            <w:r w:rsidRPr="0029301D">
              <w:rPr>
                <w:rFonts w:ascii="gobCL" w:hAnsi="gobCL"/>
                <w:highlight w:val="white"/>
              </w:rPr>
              <w:t>OA_14: Escribir una variedad de textos, como cuentos, correos electrónicos, artículos, folletos, rimas, descripciones, biografías, instrucciones, cartas, resúmenes, diario personal (</w:t>
            </w:r>
            <w:proofErr w:type="spellStart"/>
            <w:r w:rsidRPr="0029301D">
              <w:rPr>
                <w:rFonts w:ascii="gobCL" w:hAnsi="gobCL"/>
                <w:highlight w:val="white"/>
              </w:rPr>
              <w:t>journal</w:t>
            </w:r>
            <w:proofErr w:type="spellEnd"/>
            <w:r w:rsidRPr="0029301D">
              <w:rPr>
                <w:rFonts w:ascii="gobCL" w:hAnsi="gobCL"/>
                <w:highlight w:val="white"/>
              </w:rPr>
              <w:t>) y poemas o canciones utilizando los pasos del proceso de escritura (organizar ideas, redactar, revisar, editar, publicar), generalmente en forma independiente de acuerdo a un criterio de evaluación, recurriendo a herramientas como el procesador de textos y diccionario en línea.</w:t>
            </w:r>
          </w:p>
        </w:tc>
      </w:tr>
      <w:tr w:rsidR="00986C47" w:rsidRPr="0029301D" w14:paraId="742D84A4" w14:textId="77777777" w:rsidTr="0029301D">
        <w:tc>
          <w:tcPr>
            <w:tcW w:w="2820" w:type="dxa"/>
            <w:shd w:val="clear" w:color="auto" w:fill="00B0F0"/>
          </w:tcPr>
          <w:p w14:paraId="66071704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>Asignatura secundaria</w:t>
            </w:r>
          </w:p>
        </w:tc>
        <w:tc>
          <w:tcPr>
            <w:tcW w:w="6615" w:type="dxa"/>
          </w:tcPr>
          <w:p w14:paraId="390AF388" w14:textId="77777777" w:rsidR="00986C47" w:rsidRPr="0029301D" w:rsidRDefault="00640AD3">
            <w:pPr>
              <w:rPr>
                <w:rFonts w:ascii="gobCL" w:hAnsi="gobCL"/>
              </w:rPr>
            </w:pPr>
            <w:r w:rsidRPr="0029301D">
              <w:rPr>
                <w:rFonts w:ascii="gobCL" w:hAnsi="gobCL"/>
              </w:rPr>
              <w:t xml:space="preserve">Artes Visuales </w:t>
            </w:r>
          </w:p>
        </w:tc>
      </w:tr>
      <w:tr w:rsidR="00986C47" w:rsidRPr="0029301D" w14:paraId="604EC50F" w14:textId="77777777" w:rsidTr="0029301D">
        <w:tc>
          <w:tcPr>
            <w:tcW w:w="2820" w:type="dxa"/>
            <w:shd w:val="clear" w:color="auto" w:fill="00B0F0"/>
          </w:tcPr>
          <w:p w14:paraId="1146786C" w14:textId="77777777" w:rsidR="00986C47" w:rsidRPr="0029301D" w:rsidRDefault="00640AD3">
            <w:pPr>
              <w:rPr>
                <w:rFonts w:ascii="gobCL" w:hAnsi="gobCL"/>
                <w:b/>
                <w:color w:val="FFFFFF" w:themeColor="background1"/>
              </w:rPr>
            </w:pPr>
            <w:r w:rsidRPr="0029301D">
              <w:rPr>
                <w:rFonts w:ascii="gobCL" w:hAnsi="gobCL"/>
                <w:b/>
                <w:color w:val="FFFFFF" w:themeColor="background1"/>
              </w:rPr>
              <w:t xml:space="preserve">Palabras claves </w:t>
            </w:r>
          </w:p>
        </w:tc>
        <w:tc>
          <w:tcPr>
            <w:tcW w:w="6615" w:type="dxa"/>
          </w:tcPr>
          <w:p w14:paraId="57868FFD" w14:textId="77777777" w:rsidR="00986C47" w:rsidRPr="0029301D" w:rsidRDefault="00640AD3">
            <w:pPr>
              <w:rPr>
                <w:rFonts w:ascii="gobCL" w:hAnsi="gobCL"/>
              </w:rPr>
            </w:pPr>
            <w:r w:rsidRPr="0029301D">
              <w:rPr>
                <w:rFonts w:ascii="gobCL" w:hAnsi="gobCL"/>
              </w:rPr>
              <w:t>Aire, Plan de Descontaminación Atmosférica, fuentes contaminación atmosférica, efectos en la salud, contaminantes, MP, MP2,5, MP10, Ozono.</w:t>
            </w:r>
          </w:p>
        </w:tc>
      </w:tr>
    </w:tbl>
    <w:p w14:paraId="48EABCB8" w14:textId="77777777" w:rsidR="00986C47" w:rsidRPr="0029301D" w:rsidRDefault="00986C47">
      <w:pPr>
        <w:rPr>
          <w:rFonts w:ascii="gobCL" w:hAnsi="gobCL"/>
        </w:rPr>
      </w:pPr>
    </w:p>
    <w:p w14:paraId="7056CABD" w14:textId="77777777" w:rsidR="00986C47" w:rsidRPr="0029301D" w:rsidRDefault="00986C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obCL" w:hAnsi="gobCL"/>
        </w:rPr>
      </w:pPr>
    </w:p>
    <w:p w14:paraId="4CACA414" w14:textId="77777777" w:rsidR="0029301D" w:rsidRDefault="002930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obCL" w:eastAsia="Century Gothic" w:hAnsi="gobCL"/>
          <w:b/>
          <w:color w:val="004445"/>
          <w:sz w:val="24"/>
          <w:szCs w:val="24"/>
        </w:rPr>
      </w:pPr>
    </w:p>
    <w:p w14:paraId="161F7101" w14:textId="77777777" w:rsidR="0029301D" w:rsidRDefault="0029301D" w:rsidP="002930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bCL" w:eastAsia="Century Gothic" w:hAnsi="gobCL"/>
          <w:b/>
          <w:color w:val="004445"/>
          <w:sz w:val="24"/>
          <w:szCs w:val="24"/>
        </w:rPr>
      </w:pPr>
    </w:p>
    <w:p w14:paraId="4F3EEFC1" w14:textId="77777777" w:rsidR="00986C47" w:rsidRPr="0029301D" w:rsidRDefault="00640AD3" w:rsidP="0029301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after="0"/>
        <w:rPr>
          <w:rFonts w:ascii="gobCL" w:eastAsia="Century Gothic" w:hAnsi="gobCL"/>
          <w:b/>
          <w:color w:val="FFFFFF" w:themeColor="background1"/>
          <w:sz w:val="24"/>
          <w:szCs w:val="24"/>
        </w:rPr>
      </w:pPr>
      <w:r w:rsidRPr="0029301D">
        <w:rPr>
          <w:rFonts w:ascii="gobCL" w:eastAsia="Century Gothic" w:hAnsi="gobCL"/>
          <w:b/>
          <w:color w:val="FFFFFF" w:themeColor="background1"/>
          <w:sz w:val="24"/>
          <w:szCs w:val="24"/>
        </w:rPr>
        <w:t xml:space="preserve">Experiencia de aprendizaje: </w:t>
      </w:r>
    </w:p>
    <w:p w14:paraId="3C80A863" w14:textId="77777777" w:rsidR="00986C47" w:rsidRPr="0029301D" w:rsidRDefault="00986C47">
      <w:pPr>
        <w:rPr>
          <w:rFonts w:ascii="gobCL" w:hAnsi="gobCL"/>
          <w:b/>
        </w:rPr>
      </w:pPr>
    </w:p>
    <w:p w14:paraId="2EC8BFAC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  <w:b/>
        </w:rPr>
        <w:lastRenderedPageBreak/>
        <w:t xml:space="preserve">Inicio: </w:t>
      </w:r>
      <w:r w:rsidRPr="0029301D">
        <w:rPr>
          <w:rFonts w:ascii="gobCL" w:hAnsi="gobCL"/>
        </w:rPr>
        <w:t xml:space="preserve">al inicio de la clase, en conjunto con los estudiantes, se comenta sobre el concepto de calidad del aire, preguntando qué entienden por este y qué importancia creen que tiene la calidad del aire en la vida de las personas. </w:t>
      </w:r>
    </w:p>
    <w:p w14:paraId="666DFDED" w14:textId="77777777" w:rsidR="00986C47" w:rsidRPr="0029301D" w:rsidRDefault="00640AD3">
      <w:pPr>
        <w:spacing w:after="0"/>
        <w:rPr>
          <w:rFonts w:ascii="gobCL" w:hAnsi="gobCL"/>
          <w:b/>
        </w:rPr>
      </w:pPr>
      <w:r w:rsidRPr="0029301D">
        <w:rPr>
          <w:rFonts w:ascii="gobCL" w:hAnsi="gobCL"/>
        </w:rPr>
        <w:t xml:space="preserve">Se les invita a observar </w:t>
      </w:r>
      <w:r w:rsidRPr="0029301D">
        <w:rPr>
          <w:rFonts w:ascii="gobCL" w:hAnsi="gobCL"/>
          <w:highlight w:val="white"/>
        </w:rPr>
        <w:t>las infografías de contaminación atmosférica, MP10, MP2,5 y Ozono para luego comentar res</w:t>
      </w:r>
      <w:r w:rsidRPr="0029301D">
        <w:rPr>
          <w:rFonts w:ascii="gobCL" w:hAnsi="gobCL"/>
        </w:rPr>
        <w:t xml:space="preserve">pecto de la información leída, identificando las fuentes de contaminación, impactos en la salud, entre otros elementos. </w:t>
      </w:r>
    </w:p>
    <w:p w14:paraId="24B36223" w14:textId="77777777" w:rsidR="00986C47" w:rsidRPr="0029301D" w:rsidRDefault="00986C47">
      <w:pPr>
        <w:spacing w:after="0"/>
        <w:rPr>
          <w:rFonts w:ascii="gobCL" w:hAnsi="gobCL"/>
          <w:b/>
        </w:rPr>
      </w:pPr>
    </w:p>
    <w:p w14:paraId="10C8A7EB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  <w:b/>
          <w:color w:val="000000"/>
        </w:rPr>
        <w:t>Desarrollo</w:t>
      </w:r>
      <w:r w:rsidRPr="0029301D">
        <w:rPr>
          <w:rFonts w:ascii="gobCL" w:hAnsi="gobCL"/>
          <w:color w:val="000000"/>
        </w:rPr>
        <w:t xml:space="preserve">: </w:t>
      </w:r>
      <w:r w:rsidRPr="0029301D">
        <w:rPr>
          <w:rFonts w:ascii="gobCL" w:hAnsi="gobCL"/>
        </w:rPr>
        <w:t xml:space="preserve">se propone a los estudiantes realizar un cómic, de forma individual, con la finalidad de comunicar su postura e ideas respecto al tema trabajado. Se proyecta la presentación del paso a paso para el desarrollo del cómic. </w:t>
      </w:r>
    </w:p>
    <w:p w14:paraId="7CDE959E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</w:rPr>
        <w:t xml:space="preserve">Como primer paso, se invita a los estudiantes a seleccionar un tema central para su cómic. Se sugiere entregar las siguientes opciones: </w:t>
      </w:r>
    </w:p>
    <w:p w14:paraId="021ED7E5" w14:textId="77777777" w:rsidR="00986C47" w:rsidRPr="0029301D" w:rsidRDefault="00640AD3">
      <w:pPr>
        <w:numPr>
          <w:ilvl w:val="0"/>
          <w:numId w:val="1"/>
        </w:num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Contaminación atmosférica. </w:t>
      </w:r>
    </w:p>
    <w:p w14:paraId="744D2BA7" w14:textId="77777777" w:rsidR="00986C47" w:rsidRPr="0029301D" w:rsidRDefault="00640AD3">
      <w:pPr>
        <w:numPr>
          <w:ilvl w:val="0"/>
          <w:numId w:val="1"/>
        </w:num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Tipos de contaminantes. </w:t>
      </w:r>
    </w:p>
    <w:p w14:paraId="4F90A01A" w14:textId="77777777" w:rsidR="00986C47" w:rsidRPr="0029301D" w:rsidRDefault="00640AD3">
      <w:pPr>
        <w:numPr>
          <w:ilvl w:val="0"/>
          <w:numId w:val="1"/>
        </w:num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Efectos en la salud de las personas. </w:t>
      </w:r>
    </w:p>
    <w:p w14:paraId="7A5AEEB7" w14:textId="77777777" w:rsidR="00986C47" w:rsidRPr="0029301D" w:rsidRDefault="00640AD3">
      <w:pPr>
        <w:numPr>
          <w:ilvl w:val="0"/>
          <w:numId w:val="1"/>
        </w:num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Acciones preventivas. </w:t>
      </w:r>
    </w:p>
    <w:p w14:paraId="0D84EA8E" w14:textId="77777777" w:rsidR="00986C47" w:rsidRPr="0029301D" w:rsidRDefault="00640AD3">
      <w:pPr>
        <w:numPr>
          <w:ilvl w:val="0"/>
          <w:numId w:val="1"/>
        </w:numPr>
        <w:rPr>
          <w:rFonts w:ascii="gobCL" w:hAnsi="gobCL"/>
        </w:rPr>
      </w:pPr>
      <w:r w:rsidRPr="0029301D">
        <w:rPr>
          <w:rFonts w:ascii="gobCL" w:hAnsi="gobCL"/>
        </w:rPr>
        <w:t xml:space="preserve">Acciones de mitigación de la contaminación atmosférica. </w:t>
      </w:r>
    </w:p>
    <w:p w14:paraId="3F26F7AB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</w:rPr>
        <w:t xml:space="preserve">Una vez seleccionado el tema, se presentan los pasos a seguir para la creación del cómic. Proponga a los estudiantes profundizar en el tema seleccionado. Invitando a investigar de forma autónoma sobre el contenido elegido. </w:t>
      </w:r>
    </w:p>
    <w:p w14:paraId="54F829CB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  <w:b/>
        </w:rPr>
        <w:t>Cierre</w:t>
      </w:r>
      <w:r w:rsidRPr="0029301D">
        <w:rPr>
          <w:rFonts w:ascii="gobCL" w:hAnsi="gobCL"/>
        </w:rPr>
        <w:t xml:space="preserve">: una vez finalizado los cómics, se comenta con los estudiantes la actividad, identificando los pasos realizados, los principales desafíos que encontraron en el proceso y se invita a reflexionar sobre el mensaje que deseaban entregar, identificando sí lograron plasmar sus ideas en el texto desarrollado. </w:t>
      </w:r>
    </w:p>
    <w:p w14:paraId="4F68464F" w14:textId="77777777" w:rsidR="00986C47" w:rsidRPr="0029301D" w:rsidRDefault="00640AD3">
      <w:p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Se sugiere propiciar la publicación de los cómics, considerando espacios y/o medios de comunicación disponibles en el establecimiento, por ejemplo, diario escolar, diario mural, redes sociales, entre otros medios. </w:t>
      </w:r>
    </w:p>
    <w:p w14:paraId="6E5E1E50" w14:textId="77777777" w:rsidR="0029301D" w:rsidRDefault="002930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obCL" w:eastAsia="Century Gothic" w:hAnsi="gobCL"/>
          <w:b/>
          <w:color w:val="004445"/>
          <w:sz w:val="24"/>
          <w:szCs w:val="24"/>
        </w:rPr>
      </w:pPr>
    </w:p>
    <w:p w14:paraId="2BBDC632" w14:textId="77777777" w:rsidR="00986C47" w:rsidRPr="0029301D" w:rsidRDefault="00640AD3" w:rsidP="0029301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after="0"/>
        <w:rPr>
          <w:rFonts w:ascii="gobCL" w:eastAsia="Century Gothic" w:hAnsi="gobCL"/>
          <w:b/>
          <w:color w:val="FFFFFF" w:themeColor="background1"/>
          <w:sz w:val="24"/>
          <w:szCs w:val="24"/>
        </w:rPr>
      </w:pPr>
      <w:r w:rsidRPr="0029301D">
        <w:rPr>
          <w:rFonts w:ascii="gobCL" w:eastAsia="Century Gothic" w:hAnsi="gobCL"/>
          <w:b/>
          <w:color w:val="FFFFFF" w:themeColor="background1"/>
          <w:sz w:val="24"/>
          <w:szCs w:val="24"/>
        </w:rPr>
        <w:t>Sugerencia al docente</w:t>
      </w:r>
    </w:p>
    <w:p w14:paraId="2A692BA1" w14:textId="77777777" w:rsidR="00986C47" w:rsidRPr="0029301D" w:rsidRDefault="00986C47">
      <w:pPr>
        <w:rPr>
          <w:rFonts w:ascii="gobCL" w:hAnsi="gobCL"/>
        </w:rPr>
      </w:pPr>
    </w:p>
    <w:p w14:paraId="1FBB938F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</w:rPr>
        <w:t xml:space="preserve">Se sugiere desarrollar esta actividad en más de una sesión, permitiendo que los estudiantes puedan profundizar en los contenidos a incorporar en su cómic, como también revisar y editar sus creaciones. </w:t>
      </w:r>
    </w:p>
    <w:p w14:paraId="7A18A724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</w:rPr>
        <w:lastRenderedPageBreak/>
        <w:t xml:space="preserve">Por otra parte, puede entregar la opción de desarrollar el cómic por medio de distintas herramientas digitales, tales como: </w:t>
      </w:r>
    </w:p>
    <w:p w14:paraId="1ED11A40" w14:textId="77777777" w:rsidR="00986C47" w:rsidRPr="0029301D" w:rsidRDefault="00640AD3">
      <w:pPr>
        <w:numPr>
          <w:ilvl w:val="0"/>
          <w:numId w:val="3"/>
        </w:numPr>
        <w:spacing w:after="0"/>
        <w:rPr>
          <w:rFonts w:ascii="gobCL" w:hAnsi="gobCL"/>
        </w:rPr>
      </w:pPr>
      <w:proofErr w:type="spellStart"/>
      <w:r w:rsidRPr="0029301D">
        <w:rPr>
          <w:rFonts w:ascii="gobCL" w:hAnsi="gobCL"/>
        </w:rPr>
        <w:t>Pixton</w:t>
      </w:r>
      <w:proofErr w:type="spellEnd"/>
      <w:r w:rsidRPr="0029301D">
        <w:rPr>
          <w:rFonts w:ascii="gobCL" w:hAnsi="gobCL"/>
        </w:rPr>
        <w:t xml:space="preserve">: generador de historietas con opciones gratuitas, que permite crear personajes, entregándoles distintas expresiones y posturas, además de poder personalizar diversas situaciones. </w:t>
      </w:r>
    </w:p>
    <w:p w14:paraId="56E8BAA0" w14:textId="77777777" w:rsidR="00986C47" w:rsidRPr="0029301D" w:rsidRDefault="00640AD3">
      <w:pPr>
        <w:numPr>
          <w:ilvl w:val="0"/>
          <w:numId w:val="3"/>
        </w:numPr>
        <w:rPr>
          <w:rFonts w:ascii="gobCL" w:hAnsi="gobCL"/>
        </w:rPr>
      </w:pPr>
      <w:proofErr w:type="spellStart"/>
      <w:r w:rsidRPr="0029301D">
        <w:rPr>
          <w:rFonts w:ascii="gobCL" w:hAnsi="gobCL"/>
        </w:rPr>
        <w:t>Storybird</w:t>
      </w:r>
      <w:proofErr w:type="spellEnd"/>
      <w:r w:rsidRPr="0029301D">
        <w:rPr>
          <w:rFonts w:ascii="gobCL" w:hAnsi="gobCL"/>
        </w:rPr>
        <w:t xml:space="preserve">: plataforma gratuita que permite crear historietas utilizando distintas planillas prediseñadas. </w:t>
      </w:r>
    </w:p>
    <w:p w14:paraId="394C80DD" w14:textId="77777777" w:rsidR="00986C47" w:rsidRPr="0029301D" w:rsidRDefault="00640AD3">
      <w:p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Solicite la entrega del cómic, en formato PDF, con dibujo análogo o digital a color, incorporando al menos 6 viñetas para el desarrollo de la historia. </w:t>
      </w:r>
    </w:p>
    <w:p w14:paraId="46F877F9" w14:textId="77777777" w:rsidR="00986C47" w:rsidRPr="0029301D" w:rsidRDefault="00986C47">
      <w:pPr>
        <w:spacing w:after="0"/>
        <w:rPr>
          <w:rFonts w:ascii="gobCL" w:hAnsi="gobCL"/>
        </w:rPr>
      </w:pPr>
    </w:p>
    <w:p w14:paraId="451F758E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</w:rPr>
        <w:t xml:space="preserve">Finalmente, se propone transversalizar el desarrollo de esta actividad con la asignatura de </w:t>
      </w:r>
      <w:r w:rsidRPr="0029301D">
        <w:rPr>
          <w:rFonts w:ascii="gobCL" w:hAnsi="gobCL"/>
          <w:b/>
        </w:rPr>
        <w:t xml:space="preserve">Artes Visuales </w:t>
      </w:r>
      <w:r w:rsidRPr="0029301D">
        <w:rPr>
          <w:rFonts w:ascii="gobCL" w:hAnsi="gobCL"/>
        </w:rPr>
        <w:t xml:space="preserve">abordando el </w:t>
      </w:r>
      <w:r w:rsidRPr="0029301D">
        <w:rPr>
          <w:rFonts w:ascii="gobCL" w:hAnsi="gobCL"/>
          <w:b/>
        </w:rPr>
        <w:t>objetivo de aprendizaje 2</w:t>
      </w:r>
      <w:r w:rsidRPr="0029301D">
        <w:rPr>
          <w:rFonts w:ascii="gobCL" w:hAnsi="gobCL"/>
        </w:rPr>
        <w:t xml:space="preserve"> “Crear obras y proyectos de ilustración, audiovisuales y multimediales, para expresar sensaciones, emociones e ideas, tomando riesgos creativos al seleccionar temas, materiales, soportes y procedimiento”, fomentando el trabajo de croquis y el desarrollo de distintas técnicas y materiales para el desarrollo de sus proyectos y el </w:t>
      </w:r>
      <w:r w:rsidRPr="0029301D">
        <w:rPr>
          <w:rFonts w:ascii="gobCL" w:hAnsi="gobCL"/>
          <w:b/>
        </w:rPr>
        <w:t>Objetivo de aprendizaje 7</w:t>
      </w:r>
      <w:r w:rsidRPr="0029301D">
        <w:rPr>
          <w:rFonts w:ascii="gobCL" w:hAnsi="gobCL"/>
        </w:rPr>
        <w:t xml:space="preserve"> “Diseñar y gestionar colaborativamente proyectos de difusión de obras visuales, audiovisuales y multimediales propios, empleando diversidad de medios o TIC”, buscando espacios para la difusión de sus trabajos. </w:t>
      </w:r>
    </w:p>
    <w:p w14:paraId="62EDAA37" w14:textId="77777777" w:rsidR="00986C47" w:rsidRDefault="00986C47">
      <w:pPr>
        <w:spacing w:after="0"/>
        <w:rPr>
          <w:rFonts w:ascii="gobCL" w:hAnsi="gobCL"/>
        </w:rPr>
      </w:pPr>
    </w:p>
    <w:p w14:paraId="52A7F3D2" w14:textId="77777777" w:rsidR="0029301D" w:rsidRDefault="0029301D">
      <w:pPr>
        <w:spacing w:after="0"/>
        <w:rPr>
          <w:rFonts w:ascii="gobCL" w:hAnsi="gobCL"/>
        </w:rPr>
      </w:pPr>
    </w:p>
    <w:p w14:paraId="10419217" w14:textId="77777777" w:rsidR="0029301D" w:rsidRDefault="0029301D">
      <w:pPr>
        <w:spacing w:after="0"/>
        <w:rPr>
          <w:rFonts w:ascii="gobCL" w:hAnsi="gobCL"/>
        </w:rPr>
      </w:pPr>
    </w:p>
    <w:p w14:paraId="3E8E24D1" w14:textId="77777777" w:rsidR="0029301D" w:rsidRDefault="0029301D">
      <w:pPr>
        <w:spacing w:after="0"/>
        <w:rPr>
          <w:rFonts w:ascii="gobCL" w:hAnsi="gobCL"/>
        </w:rPr>
      </w:pPr>
    </w:p>
    <w:p w14:paraId="6E27430F" w14:textId="77777777" w:rsidR="0029301D" w:rsidRDefault="0029301D">
      <w:pPr>
        <w:spacing w:after="0"/>
        <w:rPr>
          <w:rFonts w:ascii="gobCL" w:hAnsi="gobCL"/>
        </w:rPr>
      </w:pPr>
    </w:p>
    <w:p w14:paraId="73448E2F" w14:textId="77777777" w:rsidR="0029301D" w:rsidRDefault="0029301D">
      <w:pPr>
        <w:spacing w:after="0"/>
        <w:rPr>
          <w:rFonts w:ascii="gobCL" w:hAnsi="gobCL"/>
        </w:rPr>
      </w:pPr>
    </w:p>
    <w:p w14:paraId="280F851B" w14:textId="77777777" w:rsidR="0029301D" w:rsidRDefault="0029301D">
      <w:pPr>
        <w:spacing w:after="0"/>
        <w:rPr>
          <w:rFonts w:ascii="gobCL" w:hAnsi="gobCL"/>
        </w:rPr>
      </w:pPr>
    </w:p>
    <w:p w14:paraId="7672232A" w14:textId="77777777" w:rsidR="0029301D" w:rsidRDefault="0029301D">
      <w:pPr>
        <w:spacing w:after="0"/>
        <w:rPr>
          <w:rFonts w:ascii="gobCL" w:hAnsi="gobCL"/>
        </w:rPr>
      </w:pPr>
    </w:p>
    <w:p w14:paraId="13BBF19B" w14:textId="77777777" w:rsidR="0029301D" w:rsidRDefault="0029301D">
      <w:pPr>
        <w:spacing w:after="0"/>
        <w:rPr>
          <w:rFonts w:ascii="gobCL" w:hAnsi="gobCL"/>
        </w:rPr>
      </w:pPr>
    </w:p>
    <w:p w14:paraId="2C3077CA" w14:textId="77777777" w:rsidR="0029301D" w:rsidRDefault="0029301D">
      <w:pPr>
        <w:spacing w:after="0"/>
        <w:rPr>
          <w:rFonts w:ascii="gobCL" w:hAnsi="gobCL"/>
        </w:rPr>
      </w:pPr>
    </w:p>
    <w:p w14:paraId="5A7047DD" w14:textId="77777777" w:rsidR="0029301D" w:rsidRDefault="0029301D">
      <w:pPr>
        <w:spacing w:after="0"/>
        <w:rPr>
          <w:rFonts w:ascii="gobCL" w:hAnsi="gobCL"/>
        </w:rPr>
      </w:pPr>
    </w:p>
    <w:p w14:paraId="2081CE11" w14:textId="77777777" w:rsidR="0029301D" w:rsidRDefault="0029301D">
      <w:pPr>
        <w:spacing w:after="0"/>
        <w:rPr>
          <w:rFonts w:ascii="gobCL" w:hAnsi="gobCL"/>
        </w:rPr>
      </w:pPr>
    </w:p>
    <w:p w14:paraId="2ECB216B" w14:textId="77777777" w:rsidR="0029301D" w:rsidRDefault="0029301D">
      <w:pPr>
        <w:spacing w:after="0"/>
        <w:rPr>
          <w:rFonts w:ascii="gobCL" w:hAnsi="gobCL"/>
        </w:rPr>
      </w:pPr>
    </w:p>
    <w:p w14:paraId="41CDC509" w14:textId="77777777" w:rsidR="0029301D" w:rsidRDefault="0029301D">
      <w:pPr>
        <w:spacing w:after="0"/>
        <w:rPr>
          <w:rFonts w:ascii="gobCL" w:hAnsi="gobCL"/>
        </w:rPr>
      </w:pPr>
    </w:p>
    <w:p w14:paraId="0E0CC8D5" w14:textId="77777777" w:rsidR="0029301D" w:rsidRDefault="0029301D">
      <w:pPr>
        <w:spacing w:after="0"/>
        <w:rPr>
          <w:rFonts w:ascii="gobCL" w:hAnsi="gobCL"/>
        </w:rPr>
      </w:pPr>
    </w:p>
    <w:p w14:paraId="1B814FB3" w14:textId="77777777" w:rsidR="0029301D" w:rsidRDefault="0029301D">
      <w:pPr>
        <w:spacing w:after="0"/>
        <w:rPr>
          <w:rFonts w:ascii="gobCL" w:hAnsi="gobCL"/>
        </w:rPr>
      </w:pPr>
    </w:p>
    <w:p w14:paraId="4ADB41F8" w14:textId="77777777" w:rsidR="0029301D" w:rsidRPr="0029301D" w:rsidRDefault="0029301D">
      <w:pPr>
        <w:spacing w:after="0"/>
        <w:rPr>
          <w:rFonts w:ascii="gobCL" w:hAnsi="gobCL"/>
        </w:rPr>
      </w:pPr>
    </w:p>
    <w:p w14:paraId="587EACEC" w14:textId="77777777" w:rsidR="00986C47" w:rsidRPr="0029301D" w:rsidRDefault="00640AD3" w:rsidP="0029301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before="240" w:after="0"/>
        <w:rPr>
          <w:rFonts w:ascii="gobCL" w:eastAsia="Century Gothic" w:hAnsi="gobCL"/>
          <w:b/>
          <w:color w:val="FFFFFF" w:themeColor="background1"/>
          <w:sz w:val="24"/>
          <w:szCs w:val="24"/>
        </w:rPr>
      </w:pPr>
      <w:bookmarkStart w:id="1" w:name="_heading=h.eg5hvufbculi" w:colFirst="0" w:colLast="0"/>
      <w:bookmarkEnd w:id="1"/>
      <w:r w:rsidRPr="0029301D">
        <w:rPr>
          <w:rFonts w:ascii="gobCL" w:eastAsia="Century Gothic" w:hAnsi="gobCL"/>
          <w:b/>
          <w:color w:val="FFFFFF" w:themeColor="background1"/>
          <w:sz w:val="24"/>
          <w:szCs w:val="24"/>
        </w:rPr>
        <w:lastRenderedPageBreak/>
        <w:t xml:space="preserve">Material de apoyo </w:t>
      </w:r>
    </w:p>
    <w:p w14:paraId="0EBCADCF" w14:textId="77777777" w:rsidR="00986C47" w:rsidRPr="0029301D" w:rsidRDefault="00640AD3">
      <w:pPr>
        <w:rPr>
          <w:rFonts w:ascii="gobCL" w:hAnsi="gobCL"/>
        </w:rPr>
      </w:pPr>
      <w:r w:rsidRPr="0029301D">
        <w:rPr>
          <w:rFonts w:ascii="gobCL" w:hAnsi="gobCL"/>
        </w:rPr>
        <w:t xml:space="preserve">Para complementar la actividad, los estudiantes pueden visitar las plataformas de Educación Ambiental y Aire del Ministerio del Medio Ambiente con el fin de profundizar en los contenidos a incorporar en el cómic. Se sugiere la revisión de los siguientes documentos: </w:t>
      </w:r>
    </w:p>
    <w:p w14:paraId="77648A07" w14:textId="77777777" w:rsidR="00986C47" w:rsidRPr="0029301D" w:rsidRDefault="00640AD3">
      <w:pPr>
        <w:numPr>
          <w:ilvl w:val="0"/>
          <w:numId w:val="4"/>
        </w:num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Ministerio del Medio Ambiente. Educación Ambiental para el mejoramiento de la calidad del aire. </w:t>
      </w:r>
      <w:hyperlink r:id="rId8">
        <w:r w:rsidRPr="0029301D">
          <w:rPr>
            <w:rFonts w:ascii="gobCL" w:hAnsi="gobCL"/>
            <w:color w:val="1155CC"/>
            <w:u w:val="single"/>
          </w:rPr>
          <w:t>https://educacion.mma.gob.cl/wp-content/uploads/2015/08/Cuadernillo-Calidad-del-aire.pdf</w:t>
        </w:r>
      </w:hyperlink>
    </w:p>
    <w:p w14:paraId="671038B5" w14:textId="77777777" w:rsidR="00986C47" w:rsidRPr="0029301D" w:rsidRDefault="00640AD3">
      <w:pPr>
        <w:numPr>
          <w:ilvl w:val="0"/>
          <w:numId w:val="4"/>
        </w:numPr>
        <w:spacing w:after="0"/>
        <w:rPr>
          <w:rFonts w:ascii="gobCL" w:hAnsi="gobCL"/>
        </w:rPr>
      </w:pPr>
      <w:r w:rsidRPr="0029301D">
        <w:rPr>
          <w:rFonts w:ascii="gobCL" w:hAnsi="gobCL"/>
        </w:rPr>
        <w:t xml:space="preserve">Seremi del Medio Ambiente, Región de O’Higgins. Guía Pedagógica Descontaminemos el aire de nuestra ciudad. </w:t>
      </w:r>
    </w:p>
    <w:p w14:paraId="745C75DB" w14:textId="77777777" w:rsidR="00986C47" w:rsidRPr="0029301D" w:rsidRDefault="00640AD3">
      <w:pPr>
        <w:numPr>
          <w:ilvl w:val="0"/>
          <w:numId w:val="4"/>
        </w:numPr>
        <w:rPr>
          <w:rFonts w:ascii="gobCL" w:hAnsi="gobCL"/>
        </w:rPr>
      </w:pPr>
      <w:r w:rsidRPr="0029301D">
        <w:rPr>
          <w:rFonts w:ascii="gobCL" w:hAnsi="gobCL"/>
        </w:rPr>
        <w:t>https://educacion.mma.gob.cl/wp-content/uploads/2016/09/articles-54415_GuiaEstudiantesVIRegion.pdf</w:t>
      </w:r>
    </w:p>
    <w:p w14:paraId="1A22474D" w14:textId="77777777" w:rsidR="00986C47" w:rsidRPr="0029301D" w:rsidRDefault="00986C47">
      <w:pPr>
        <w:jc w:val="left"/>
        <w:rPr>
          <w:rFonts w:ascii="gobCL" w:hAnsi="gobCL"/>
        </w:rPr>
      </w:pPr>
    </w:p>
    <w:p w14:paraId="30160873" w14:textId="77777777" w:rsidR="00986C47" w:rsidRPr="0029301D" w:rsidRDefault="00986C47">
      <w:pPr>
        <w:ind w:left="720"/>
        <w:rPr>
          <w:rFonts w:ascii="gobCL" w:hAnsi="gobCL"/>
        </w:rPr>
      </w:pPr>
    </w:p>
    <w:p w14:paraId="584EF573" w14:textId="77777777" w:rsidR="00986C47" w:rsidRPr="0029301D" w:rsidRDefault="00986C47">
      <w:pPr>
        <w:rPr>
          <w:rFonts w:ascii="gobCL" w:hAnsi="gobCL"/>
        </w:rPr>
      </w:pPr>
    </w:p>
    <w:sectPr w:rsidR="00986C47" w:rsidRPr="0029301D">
      <w:headerReference w:type="default" r:id="rId9"/>
      <w:pgSz w:w="12240" w:h="15840"/>
      <w:pgMar w:top="1417" w:right="1701" w:bottom="1417" w:left="212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8610" w14:textId="77777777" w:rsidR="00FA252D" w:rsidRDefault="00FA252D" w:rsidP="0029301D">
      <w:pPr>
        <w:spacing w:after="0" w:line="240" w:lineRule="auto"/>
      </w:pPr>
      <w:r>
        <w:separator/>
      </w:r>
    </w:p>
  </w:endnote>
  <w:endnote w:type="continuationSeparator" w:id="0">
    <w:p w14:paraId="0B19C4ED" w14:textId="77777777" w:rsidR="00FA252D" w:rsidRDefault="00FA252D" w:rsidP="0029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9763" w14:textId="77777777" w:rsidR="00FA252D" w:rsidRDefault="00FA252D" w:rsidP="0029301D">
      <w:pPr>
        <w:spacing w:after="0" w:line="240" w:lineRule="auto"/>
      </w:pPr>
      <w:r>
        <w:separator/>
      </w:r>
    </w:p>
  </w:footnote>
  <w:footnote w:type="continuationSeparator" w:id="0">
    <w:p w14:paraId="7256AD56" w14:textId="77777777" w:rsidR="00FA252D" w:rsidRDefault="00FA252D" w:rsidP="0029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3447" w14:textId="77777777" w:rsidR="0029301D" w:rsidRPr="0029301D" w:rsidRDefault="0029301D" w:rsidP="0029301D">
    <w:pPr>
      <w:pStyle w:val="Encabezado"/>
      <w:ind w:left="4320"/>
    </w:pPr>
    <w:r w:rsidRPr="008209EC">
      <w:rPr>
        <w:noProof/>
        <w:lang w:val="es-CL"/>
      </w:rPr>
      <w:drawing>
        <wp:inline distT="0" distB="0" distL="0" distR="0" wp14:anchorId="54C186F8" wp14:editId="1F63AEDD">
          <wp:extent cx="3125024" cy="766022"/>
          <wp:effectExtent l="0" t="0" r="0" b="0"/>
          <wp:docPr id="1" name="Imagen 1" descr="C:\Users\U\Downloads\WhatsApp Image 2021-07-15 at 07.54.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\Downloads\WhatsApp Image 2021-07-15 at 07.54.4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639" cy="78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96"/>
    <w:multiLevelType w:val="multilevel"/>
    <w:tmpl w:val="7396C316"/>
    <w:lvl w:ilvl="0">
      <w:start w:val="1"/>
      <w:numFmt w:val="bullet"/>
      <w:pStyle w:val="Ttulo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2E1F2E"/>
    <w:multiLevelType w:val="multilevel"/>
    <w:tmpl w:val="A1D87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5336A2"/>
    <w:multiLevelType w:val="multilevel"/>
    <w:tmpl w:val="3618BA3E"/>
    <w:lvl w:ilvl="0">
      <w:start w:val="1"/>
      <w:numFmt w:val="bullet"/>
      <w:pStyle w:val="Ttulo2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CC44B6"/>
    <w:multiLevelType w:val="multilevel"/>
    <w:tmpl w:val="940033CA"/>
    <w:lvl w:ilvl="0">
      <w:start w:val="1"/>
      <w:numFmt w:val="bullet"/>
      <w:pStyle w:val="Ttulo4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25849701">
    <w:abstractNumId w:val="2"/>
  </w:num>
  <w:num w:numId="2" w16cid:durableId="181405535">
    <w:abstractNumId w:val="1"/>
  </w:num>
  <w:num w:numId="3" w16cid:durableId="330106991">
    <w:abstractNumId w:val="0"/>
  </w:num>
  <w:num w:numId="4" w16cid:durableId="347877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47"/>
    <w:rsid w:val="0029301D"/>
    <w:rsid w:val="00640AD3"/>
    <w:rsid w:val="00986C47"/>
    <w:rsid w:val="00E9155C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BF02"/>
  <w15:docId w15:val="{2AF4C0EA-34CD-40AB-B801-1D0F190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s" w:eastAsia="es-C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BA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C344BA"/>
    <w:pPr>
      <w:keepNext/>
      <w:keepLines/>
      <w:spacing w:before="240" w:after="0"/>
      <w:outlineLvl w:val="0"/>
    </w:pPr>
    <w:rPr>
      <w:rFonts w:eastAsiaTheme="majorEastAsia" w:cstheme="majorBidi"/>
      <w:b/>
      <w:color w:val="00444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44BA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color w:val="004445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44BA"/>
    <w:pPr>
      <w:keepNext/>
      <w:keepLines/>
      <w:numPr>
        <w:numId w:val="3"/>
      </w:numPr>
      <w:spacing w:before="40" w:after="0"/>
      <w:outlineLvl w:val="2"/>
    </w:pPr>
    <w:rPr>
      <w:rFonts w:eastAsiaTheme="majorEastAsia" w:cstheme="majorBidi"/>
      <w:color w:val="005C5D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44BA"/>
    <w:pPr>
      <w:keepNext/>
      <w:keepLines/>
      <w:numPr>
        <w:numId w:val="4"/>
      </w:numPr>
      <w:spacing w:before="40" w:after="0"/>
      <w:outlineLvl w:val="3"/>
    </w:pPr>
    <w:rPr>
      <w:rFonts w:eastAsiaTheme="majorEastAsia" w:cstheme="majorBidi"/>
      <w:iCs/>
      <w:color w:val="00444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344BA"/>
    <w:pPr>
      <w:spacing w:after="0" w:line="240" w:lineRule="auto"/>
      <w:contextualSpacing/>
    </w:pPr>
    <w:rPr>
      <w:rFonts w:eastAsiaTheme="majorEastAsia" w:cstheme="majorBidi"/>
      <w:b/>
      <w:color w:val="FF5800"/>
      <w:spacing w:val="-10"/>
      <w:kern w:val="28"/>
      <w:sz w:val="2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344BA"/>
    <w:rPr>
      <w:rFonts w:ascii="Century Gothic" w:eastAsiaTheme="majorEastAsia" w:hAnsi="Century Gothic" w:cstheme="majorBidi"/>
      <w:b/>
      <w:color w:val="004445" w:themeColor="accent1" w:themeShade="BF"/>
      <w:sz w:val="24"/>
      <w:szCs w:val="32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344BA"/>
    <w:rPr>
      <w:rFonts w:ascii="Century Gothic" w:eastAsiaTheme="majorEastAsia" w:hAnsi="Century Gothic" w:cstheme="majorBidi"/>
      <w:color w:val="004445" w:themeColor="accent1" w:themeShade="BF"/>
      <w:szCs w:val="26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344BA"/>
    <w:rPr>
      <w:rFonts w:ascii="Century Gothic" w:eastAsiaTheme="majorEastAsia" w:hAnsi="Century Gothic" w:cstheme="majorBidi"/>
      <w:color w:val="005C5D"/>
      <w:szCs w:val="24"/>
      <w:lang w:val="es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C344BA"/>
    <w:rPr>
      <w:rFonts w:ascii="Century Gothic" w:eastAsiaTheme="majorEastAsia" w:hAnsi="Century Gothic" w:cstheme="majorBidi"/>
      <w:iCs/>
      <w:color w:val="004445" w:themeColor="accent1" w:themeShade="BF"/>
      <w:lang w:val="es"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C344BA"/>
    <w:rPr>
      <w:rFonts w:ascii="Century Gothic" w:eastAsiaTheme="majorEastAsia" w:hAnsi="Century Gothic" w:cstheme="majorBidi"/>
      <w:b/>
      <w:color w:val="FF5800"/>
      <w:spacing w:val="-10"/>
      <w:kern w:val="28"/>
      <w:sz w:val="28"/>
      <w:szCs w:val="56"/>
      <w:lang w:val="es" w:eastAsia="es-CL"/>
    </w:rPr>
  </w:style>
  <w:style w:type="paragraph" w:styleId="Subttulo">
    <w:name w:val="Subtitle"/>
    <w:basedOn w:val="Normal"/>
    <w:next w:val="Normal"/>
    <w:link w:val="SubttuloCar"/>
    <w:pPr>
      <w:spacing w:after="160"/>
      <w:ind w:left="720" w:hanging="360"/>
    </w:pPr>
    <w:rPr>
      <w:color w:val="005C5D"/>
    </w:rPr>
  </w:style>
  <w:style w:type="character" w:customStyle="1" w:styleId="SubttuloCar">
    <w:name w:val="Subtítulo Car"/>
    <w:basedOn w:val="Fuentedeprrafopredeter"/>
    <w:link w:val="Subttulo"/>
    <w:uiPriority w:val="11"/>
    <w:rsid w:val="00C344BA"/>
    <w:rPr>
      <w:rFonts w:ascii="Century Gothic" w:eastAsiaTheme="minorEastAsia" w:hAnsi="Century Gothic"/>
      <w:color w:val="005C5D"/>
      <w:spacing w:val="15"/>
      <w:lang w:val="es" w:eastAsia="es-CL"/>
    </w:rPr>
  </w:style>
  <w:style w:type="character" w:styleId="Textoennegrita">
    <w:name w:val="Strong"/>
    <w:basedOn w:val="Fuentedeprrafopredeter"/>
    <w:uiPriority w:val="22"/>
    <w:qFormat/>
    <w:rsid w:val="00C344BA"/>
    <w:rPr>
      <w:rFonts w:ascii="Century Gothic" w:hAnsi="Century Gothic"/>
      <w:b/>
      <w:bCs/>
      <w:sz w:val="24"/>
    </w:rPr>
  </w:style>
  <w:style w:type="character" w:styleId="nfasis">
    <w:name w:val="Emphasis"/>
    <w:basedOn w:val="Fuentedeprrafopredeter"/>
    <w:uiPriority w:val="20"/>
    <w:qFormat/>
    <w:rsid w:val="00C344BA"/>
    <w:rPr>
      <w:rFonts w:ascii="Century Gothic" w:hAnsi="Century Gothic"/>
      <w:i w:val="0"/>
      <w:iCs/>
      <w:sz w:val="20"/>
    </w:rPr>
  </w:style>
  <w:style w:type="paragraph" w:styleId="Sinespaciado">
    <w:name w:val="No Spacing"/>
    <w:uiPriority w:val="1"/>
    <w:qFormat/>
    <w:rsid w:val="00C344BA"/>
    <w:pPr>
      <w:spacing w:after="0" w:line="240" w:lineRule="auto"/>
    </w:pPr>
    <w:rPr>
      <w:rFonts w:eastAsiaTheme="minorEastAsi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44BA"/>
    <w:pPr>
      <w:pBdr>
        <w:top w:val="single" w:sz="4" w:space="10" w:color="005C5D" w:themeColor="accent1"/>
        <w:bottom w:val="single" w:sz="4" w:space="10" w:color="005C5D" w:themeColor="accent1"/>
      </w:pBdr>
      <w:spacing w:before="360" w:after="360"/>
      <w:ind w:left="864" w:right="864"/>
      <w:jc w:val="center"/>
    </w:pPr>
    <w:rPr>
      <w:i/>
      <w:iCs/>
      <w:color w:val="005C5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44BA"/>
    <w:rPr>
      <w:rFonts w:ascii="Century Gothic" w:eastAsiaTheme="minorEastAsia" w:hAnsi="Century Gothic"/>
      <w:i/>
      <w:iCs/>
      <w:color w:val="005C5D" w:themeColor="accent1"/>
      <w:lang w:val="es" w:eastAsia="es-CL"/>
    </w:rPr>
  </w:style>
  <w:style w:type="character" w:styleId="nfasissutil">
    <w:name w:val="Subtle Emphasis"/>
    <w:basedOn w:val="Fuentedeprrafopredeter"/>
    <w:uiPriority w:val="19"/>
    <w:qFormat/>
    <w:rsid w:val="00C344BA"/>
    <w:rPr>
      <w:rFonts w:ascii="Century Gothic" w:hAnsi="Century Gothic"/>
      <w:b/>
      <w:i/>
      <w:iCs/>
      <w:color w:val="FF5800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sid w:val="00C344BA"/>
    <w:rPr>
      <w:rFonts w:ascii="Century Gothic" w:hAnsi="Century Gothic"/>
      <w:b/>
      <w:bCs/>
      <w:smallCaps/>
      <w:color w:val="auto"/>
      <w:spacing w:val="5"/>
      <w:sz w:val="20"/>
    </w:rPr>
  </w:style>
  <w:style w:type="table" w:styleId="Tablaconcuadrcula">
    <w:name w:val="Table Grid"/>
    <w:basedOn w:val="Tablanormal"/>
    <w:uiPriority w:val="39"/>
    <w:rsid w:val="00C344BA"/>
    <w:pPr>
      <w:spacing w:after="0" w:line="240" w:lineRule="auto"/>
    </w:pPr>
    <w:tblPr>
      <w:tblBorders>
        <w:top w:val="single" w:sz="8" w:space="0" w:color="005C5D"/>
        <w:left w:val="single" w:sz="8" w:space="0" w:color="005C5D"/>
        <w:bottom w:val="single" w:sz="8" w:space="0" w:color="005C5D"/>
        <w:right w:val="single" w:sz="8" w:space="0" w:color="005C5D"/>
        <w:insideH w:val="single" w:sz="8" w:space="0" w:color="005C5D"/>
        <w:insideV w:val="single" w:sz="8" w:space="0" w:color="005C5D"/>
      </w:tblBorders>
    </w:tblPr>
    <w:trPr>
      <w:tblHeader/>
    </w:trPr>
    <w:tcPr>
      <w:shd w:val="clear" w:color="auto" w:fill="auto"/>
    </w:tcPr>
  </w:style>
  <w:style w:type="character" w:styleId="nfasisintenso">
    <w:name w:val="Intense Emphasis"/>
    <w:basedOn w:val="Fuentedeprrafopredeter"/>
    <w:uiPriority w:val="21"/>
    <w:qFormat/>
    <w:rsid w:val="001E4AB0"/>
    <w:rPr>
      <w:i/>
      <w:iCs/>
      <w:color w:val="005C5D" w:themeColor="accent1"/>
    </w:rPr>
  </w:style>
  <w:style w:type="paragraph" w:styleId="Prrafodelista">
    <w:name w:val="List Paragraph"/>
    <w:basedOn w:val="Normal"/>
    <w:uiPriority w:val="34"/>
    <w:qFormat/>
    <w:rsid w:val="001E4A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71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1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13A"/>
    <w:rPr>
      <w:rFonts w:ascii="Century Gothic" w:eastAsiaTheme="minorEastAsia" w:hAnsi="Century Gothic"/>
      <w:sz w:val="20"/>
      <w:szCs w:val="20"/>
      <w:lang w:val="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1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13A"/>
    <w:rPr>
      <w:rFonts w:ascii="Century Gothic" w:eastAsiaTheme="minorEastAsia" w:hAnsi="Century Gothic"/>
      <w:b/>
      <w:bCs/>
      <w:sz w:val="20"/>
      <w:szCs w:val="20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49E"/>
    <w:rPr>
      <w:rFonts w:ascii="Segoe UI" w:eastAsiaTheme="minorEastAsia" w:hAnsi="Segoe UI" w:cs="Segoe UI"/>
      <w:sz w:val="18"/>
      <w:szCs w:val="18"/>
      <w:lang w:val="es" w:eastAsia="es-CL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Encabezado">
    <w:name w:val="header"/>
    <w:basedOn w:val="Normal"/>
    <w:link w:val="EncabezadoCar"/>
    <w:uiPriority w:val="99"/>
    <w:unhideWhenUsed/>
    <w:rsid w:val="00293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01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93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01D"/>
    <w:rPr>
      <w:rFonts w:eastAsiaTheme="minorEastAsia"/>
    </w:rPr>
  </w:style>
  <w:style w:type="table" w:styleId="Tablaconcuadrculaclara">
    <w:name w:val="Grid Table Light"/>
    <w:basedOn w:val="Tablanormal"/>
    <w:uiPriority w:val="40"/>
    <w:rsid w:val="00293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ion.mma.gob.cl/wp-content/uploads/2015/08/Cuadernillo-Calidad-del-ai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FF5800"/>
      </a:dk2>
      <a:lt2>
        <a:srgbClr val="D9EC9C"/>
      </a:lt2>
      <a:accent1>
        <a:srgbClr val="005C5D"/>
      </a:accent1>
      <a:accent2>
        <a:srgbClr val="005C5D"/>
      </a:accent2>
      <a:accent3>
        <a:srgbClr val="D9EC9C"/>
      </a:accent3>
      <a:accent4>
        <a:srgbClr val="DAD7CB"/>
      </a:accent4>
      <a:accent5>
        <a:srgbClr val="FF5800"/>
      </a:accent5>
      <a:accent6>
        <a:srgbClr val="005C5D"/>
      </a:accent6>
      <a:hlink>
        <a:srgbClr val="000000"/>
      </a:hlink>
      <a:folHlink>
        <a:srgbClr val="7F7F7F"/>
      </a:folHlink>
    </a:clrScheme>
    <a:fontScheme name="FTV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CaKA2F+jHeTPY+CsOzYYsMe0g==">AMUW2mVIg7M0e9+Zhhn3h4YJ/3LeDxiHOnvg5mcaStdRkoiXp7/OSPjaxfrUGIMCtC/aJ2hxnppID6V2ODrtnZuNyf7NmMrywkNv9KZuf3yQ1JWi0m2zwilYgH0sg1otn8gx/m4p5opjwRIZwYtDnJNbZIvSicB7zQ==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Nicole </cp:lastModifiedBy>
  <cp:revision>2</cp:revision>
  <dcterms:created xsi:type="dcterms:W3CDTF">2022-07-25T19:14:00Z</dcterms:created>
  <dcterms:modified xsi:type="dcterms:W3CDTF">2022-07-25T19:14:00Z</dcterms:modified>
</cp:coreProperties>
</file>